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3E" w:rsidRDefault="00BF6EBD">
      <w:r>
        <w:t>SINTESI PER PROCEDURE DI ACQUISTO A FRONTE DEL NUOVO CODICE DEGLI APPALTI DI CUI AL DLgs.50 del 18/4/2016</w:t>
      </w:r>
    </w:p>
    <w:p w:rsidR="00BF6EBD" w:rsidRDefault="00BF6EBD"/>
    <w:p w:rsidR="00BF6EBD" w:rsidRDefault="00BF6EBD">
      <w:r>
        <w:t xml:space="preserve">Il Nuovo codice degli appalti </w:t>
      </w:r>
      <w:proofErr w:type="spellStart"/>
      <w:r w:rsidR="008F3A03">
        <w:t>DLgs</w:t>
      </w:r>
      <w:proofErr w:type="spellEnd"/>
      <w:r w:rsidR="008F3A03">
        <w:t xml:space="preserve"> n.50/2016 </w:t>
      </w:r>
      <w:r>
        <w:t>è entrato in vigore il 19/4/2016</w:t>
      </w:r>
    </w:p>
    <w:p w:rsidR="00BF2281" w:rsidRDefault="00BF2281">
      <w:r>
        <w:t>Legge di stabilità (</w:t>
      </w:r>
      <w:r w:rsidR="008F3A03">
        <w:t>Articolo l commi 502 e 503 della Legge di Stabilità</w:t>
      </w:r>
      <w:r w:rsidR="008F3A03">
        <w:t xml:space="preserve"> </w:t>
      </w:r>
      <w:r w:rsidR="008F3A03">
        <w:t>(</w:t>
      </w:r>
      <w:r w:rsidR="008F3A03" w:rsidRPr="008F3A03">
        <w:t>Legge 28 dicembre 2015 n. 208</w:t>
      </w:r>
      <w:r w:rsidR="008F3A03">
        <w:t>)</w:t>
      </w:r>
      <w:r>
        <w:t>)</w:t>
      </w:r>
    </w:p>
    <w:p w:rsidR="00BF6EBD" w:rsidRDefault="00BF6EBD">
      <w:r>
        <w:t xml:space="preserve">L’Ateneo ha inoltrato ai </w:t>
      </w:r>
      <w:r w:rsidR="00253A6A">
        <w:t>dipartimenti la circolare Rep. n. (16) 74224 del 19.05.2016</w:t>
      </w:r>
    </w:p>
    <w:p w:rsidR="00BF2281" w:rsidRPr="00B55140" w:rsidRDefault="00F43A5F" w:rsidP="00B55140">
      <w:pPr>
        <w:jc w:val="center"/>
        <w:rPr>
          <w:sz w:val="28"/>
          <w:szCs w:val="28"/>
        </w:rPr>
      </w:pPr>
      <w:r w:rsidRPr="00B55140">
        <w:rPr>
          <w:sz w:val="28"/>
          <w:szCs w:val="28"/>
        </w:rPr>
        <w:t>**************</w:t>
      </w:r>
    </w:p>
    <w:p w:rsidR="00F43A5F" w:rsidRDefault="00F43A5F">
      <w:r>
        <w:t>I principi i</w:t>
      </w:r>
      <w:r w:rsidR="00412CA9">
        <w:t>spiratori del nuovo codice sono</w:t>
      </w:r>
      <w:r w:rsidR="008F3A03">
        <w:t>: economicità, efficacia, tempestività, correttezza, libera concorrenza, non discriminazione e parità di trattamento, trasparenza e pubblicità, proporzionalità e rotazione.</w:t>
      </w:r>
    </w:p>
    <w:p w:rsidR="007257DF" w:rsidRPr="00B55140" w:rsidRDefault="007257DF" w:rsidP="00B55140">
      <w:pPr>
        <w:jc w:val="center"/>
        <w:rPr>
          <w:sz w:val="28"/>
          <w:szCs w:val="28"/>
        </w:rPr>
      </w:pPr>
      <w:r w:rsidRPr="00B55140">
        <w:rPr>
          <w:sz w:val="28"/>
          <w:szCs w:val="28"/>
        </w:rPr>
        <w:t>**************</w:t>
      </w:r>
    </w:p>
    <w:p w:rsidR="007257DF" w:rsidRDefault="00F92BD7" w:rsidP="00F92BD7">
      <w:pPr>
        <w:jc w:val="both"/>
      </w:pPr>
      <w:r>
        <w:t xml:space="preserve">Per quanto attiene le procedure dipartimentali e nella considerazione che gli acquisti superiori ad € 40.000,00 di beni/servizi rientrano comunque nelle competenze della Centrale Acquisti, </w:t>
      </w:r>
      <w:r w:rsidR="007257DF">
        <w:t xml:space="preserve">si </w:t>
      </w:r>
      <w:r>
        <w:t>rileva</w:t>
      </w:r>
      <w:r w:rsidR="007257DF">
        <w:t>:</w:t>
      </w:r>
    </w:p>
    <w:p w:rsidR="007257DF" w:rsidRDefault="007257DF" w:rsidP="007257DF">
      <w:pPr>
        <w:pStyle w:val="Paragrafoelenco"/>
        <w:numPr>
          <w:ilvl w:val="0"/>
          <w:numId w:val="8"/>
        </w:numPr>
        <w:jc w:val="both"/>
      </w:pPr>
      <w:r>
        <w:t>Necessità di programmazione unitaria per gli acquisti di carattere generale</w:t>
      </w:r>
    </w:p>
    <w:p w:rsidR="007257DF" w:rsidRDefault="007257DF" w:rsidP="007257DF">
      <w:pPr>
        <w:pStyle w:val="Paragrafoelenco"/>
        <w:numPr>
          <w:ilvl w:val="0"/>
          <w:numId w:val="8"/>
        </w:numPr>
        <w:jc w:val="both"/>
      </w:pPr>
      <w:r>
        <w:t>Necessità (presunta) di programmazione in ambito dei progetti di ricerca</w:t>
      </w:r>
    </w:p>
    <w:p w:rsidR="006B7717" w:rsidRDefault="007257DF" w:rsidP="00F92BD7">
      <w:pPr>
        <w:jc w:val="both"/>
      </w:pPr>
      <w:r>
        <w:t xml:space="preserve">A fronte delle programmazioni annuali (o a valenza biennale la prima) l’articolo che interessa nello specifico i dipartimenti è </w:t>
      </w:r>
      <w:r w:rsidR="006B7717">
        <w:t xml:space="preserve">l’art. </w:t>
      </w:r>
      <w:r w:rsidR="00F92BD7">
        <w:t>36 del Codice che recita “</w:t>
      </w:r>
      <w:r w:rsidR="00F92BD7" w:rsidRPr="007257DF">
        <w:rPr>
          <w:i/>
        </w:rPr>
        <w:t xml:space="preserve">a) per affidamenti di importo inferiore a 40.000 euro, </w:t>
      </w:r>
      <w:r w:rsidRPr="007257DF">
        <w:t>si procede</w:t>
      </w:r>
      <w:r>
        <w:rPr>
          <w:i/>
        </w:rPr>
        <w:t xml:space="preserve"> </w:t>
      </w:r>
      <w:r w:rsidR="00F92BD7" w:rsidRPr="007257DF">
        <w:rPr>
          <w:i/>
        </w:rPr>
        <w:t>mediante affidamento diretto, adeguatamente motivato</w:t>
      </w:r>
      <w:r w:rsidR="00F92BD7">
        <w:t>”</w:t>
      </w:r>
    </w:p>
    <w:p w:rsidR="00F92BD7" w:rsidRDefault="00F92BD7" w:rsidP="00BF2281"/>
    <w:p w:rsidR="00BF2281" w:rsidRDefault="00BF2281" w:rsidP="00B55140">
      <w:pPr>
        <w:jc w:val="both"/>
      </w:pPr>
      <w:r>
        <w:t>Per importi &lt; a 1.000,00 si può procedere senza troppe formalità e soprattutto senza alcun obbligo di utilizzo di MEPA/CONSIP</w:t>
      </w:r>
      <w:r w:rsidR="004C0524">
        <w:t xml:space="preserve">. Quello che comunque è sempre importante è la </w:t>
      </w:r>
      <w:r w:rsidR="004C0524" w:rsidRPr="008F3A03">
        <w:rPr>
          <w:u w:val="single"/>
        </w:rPr>
        <w:t>motivazione</w:t>
      </w:r>
      <w:r w:rsidR="004C0524">
        <w:t>.</w:t>
      </w:r>
    </w:p>
    <w:p w:rsidR="00177916" w:rsidRDefault="00BF2281" w:rsidP="00F43A5F">
      <w:pPr>
        <w:jc w:val="both"/>
      </w:pPr>
      <w:r>
        <w:t>Per acquisti compresi fra 1001 &lt; x &lt; 40.000 euro (come anche per quelli di importo superiore) il codice prevede che</w:t>
      </w:r>
      <w:r w:rsidR="00177916">
        <w:t>:</w:t>
      </w:r>
    </w:p>
    <w:p w:rsidR="00177916" w:rsidRDefault="00177916" w:rsidP="00177916">
      <w:pPr>
        <w:pStyle w:val="Paragrafoelenco"/>
        <w:numPr>
          <w:ilvl w:val="0"/>
          <w:numId w:val="6"/>
        </w:numPr>
        <w:jc w:val="both"/>
      </w:pPr>
      <w:r>
        <w:t>Si provveda obbligatoriamente con l’utilizzo della piattaforma MEPA o convenzioni CONSIP</w:t>
      </w:r>
    </w:p>
    <w:p w:rsidR="00BF2281" w:rsidRDefault="00BF2281" w:rsidP="003F7D4D">
      <w:pPr>
        <w:pStyle w:val="Paragrafoelenco"/>
        <w:numPr>
          <w:ilvl w:val="0"/>
          <w:numId w:val="10"/>
        </w:numPr>
        <w:jc w:val="both"/>
      </w:pPr>
      <w:proofErr w:type="gramStart"/>
      <w:r>
        <w:t>ordinariamente</w:t>
      </w:r>
      <w:proofErr w:type="gramEnd"/>
      <w:r>
        <w:t xml:space="preserve"> si proceda mediante comparazione di offerte sulla base del criterio di offerta economicamente più vantaggiosa che a sua volta necessit</w:t>
      </w:r>
      <w:r w:rsidR="00F43A5F">
        <w:t>a</w:t>
      </w:r>
      <w:r>
        <w:t xml:space="preserve"> preliminarmente della indicazione dei parametri di riferimento e dei pesi attribuibili agli stessi.</w:t>
      </w:r>
    </w:p>
    <w:p w:rsidR="004C0524" w:rsidRDefault="00BF2281" w:rsidP="00B55140">
      <w:pPr>
        <w:spacing w:after="0"/>
        <w:jc w:val="both"/>
      </w:pPr>
      <w:r>
        <w:t xml:space="preserve">Eccezione </w:t>
      </w:r>
      <w:r w:rsidR="00B55140">
        <w:t>AL PUNTO 1:</w:t>
      </w:r>
      <w:r w:rsidR="003F7D4D">
        <w:t xml:space="preserve"> </w:t>
      </w:r>
    </w:p>
    <w:p w:rsidR="00177916" w:rsidRDefault="003F7D4D" w:rsidP="005D3CF3">
      <w:pPr>
        <w:spacing w:after="0"/>
        <w:ind w:left="567" w:hanging="283"/>
        <w:jc w:val="both"/>
      </w:pPr>
      <w:r>
        <w:t>-</w:t>
      </w:r>
      <w:r w:rsidR="00177916">
        <w:t xml:space="preserve"> insussistenza di beni sulla piattaforma in termini di qualità/caratteristiche richieste e impossibilità di acquisto per imposti limiti quantitativi minimi nell</w:t>
      </w:r>
      <w:r>
        <w:t>e convenzioni</w:t>
      </w:r>
      <w:r w:rsidR="00D147EF">
        <w:t>;</w:t>
      </w:r>
    </w:p>
    <w:p w:rsidR="00D147EF" w:rsidRDefault="006361F0" w:rsidP="005D3CF3">
      <w:pPr>
        <w:spacing w:after="0"/>
        <w:ind w:left="567" w:hanging="283"/>
      </w:pPr>
      <w:r>
        <w:t>-</w:t>
      </w:r>
      <w:r w:rsidR="00D147EF">
        <w:t xml:space="preserve">presenza sulla piattaforma </w:t>
      </w:r>
      <w:r>
        <w:t>di prezzo maggiore rispetto al mercato</w:t>
      </w:r>
      <w:r w:rsidR="005D3CF3">
        <w:t xml:space="preserve"> accertabile tramite preventivi</w:t>
      </w:r>
      <w:r>
        <w:t>.</w:t>
      </w:r>
    </w:p>
    <w:p w:rsidR="00D147EF" w:rsidRDefault="00D147EF" w:rsidP="006361F0">
      <w:pPr>
        <w:spacing w:after="0"/>
        <w:ind w:left="360"/>
        <w:jc w:val="both"/>
      </w:pPr>
    </w:p>
    <w:p w:rsidR="00BF2281" w:rsidRDefault="00177916" w:rsidP="00B51A8B">
      <w:r>
        <w:t>Eccezione al PUNTO 2:</w:t>
      </w:r>
      <w:r w:rsidR="00F43A5F">
        <w:t xml:space="preserve"> con conseguente </w:t>
      </w:r>
      <w:r>
        <w:t>scelta</w:t>
      </w:r>
      <w:r w:rsidR="00F43A5F">
        <w:t xml:space="preserve"> del criterio del prezzo più basso, si ha quando trattasi di:</w:t>
      </w:r>
    </w:p>
    <w:p w:rsidR="00BF2281" w:rsidRDefault="00BF2281" w:rsidP="00BF2281">
      <w:pPr>
        <w:pStyle w:val="Paragrafoelenco"/>
        <w:numPr>
          <w:ilvl w:val="0"/>
          <w:numId w:val="4"/>
        </w:numPr>
      </w:pPr>
      <w:r>
        <w:t>Prodotti standardizzati</w:t>
      </w:r>
    </w:p>
    <w:p w:rsidR="00BF2281" w:rsidRDefault="00BF2281" w:rsidP="00B55140">
      <w:pPr>
        <w:pStyle w:val="Paragrafoelenco"/>
        <w:numPr>
          <w:ilvl w:val="0"/>
          <w:numId w:val="4"/>
        </w:numPr>
        <w:jc w:val="both"/>
      </w:pPr>
      <w:r>
        <w:t xml:space="preserve">Prodotti assimilabili agli standardizzati con </w:t>
      </w:r>
      <w:r w:rsidR="00F43A5F">
        <w:t>necessaria</w:t>
      </w:r>
      <w:r>
        <w:t xml:space="preserve"> integrazione di motivazione (es. richiesta di produzione di attrezzature scientifiche </w:t>
      </w:r>
      <w:r w:rsidR="00F43A5F">
        <w:t>specifiche</w:t>
      </w:r>
      <w:r>
        <w:t xml:space="preserve"> di cui il Dipartimento ha definito la progettazione nei singoli dettagli in quanto l’uso dell</w:t>
      </w:r>
      <w:r w:rsidR="00F43A5F">
        <w:t>e stesse</w:t>
      </w:r>
      <w:r>
        <w:t xml:space="preserve"> è finalizzato a specif</w:t>
      </w:r>
      <w:r w:rsidR="00F43A5F">
        <w:t>ici progetti di ricerca. Medesimo caso dei prototipi).</w:t>
      </w:r>
    </w:p>
    <w:p w:rsidR="00BF2281" w:rsidRDefault="00F43A5F" w:rsidP="00BF2281">
      <w:r>
        <w:t>Quindi per procedere agli acquisti occorre:</w:t>
      </w:r>
    </w:p>
    <w:p w:rsidR="00F43A5F" w:rsidRDefault="00F43A5F" w:rsidP="00B55140">
      <w:pPr>
        <w:pStyle w:val="Paragrafoelenco"/>
        <w:numPr>
          <w:ilvl w:val="0"/>
          <w:numId w:val="5"/>
        </w:numPr>
        <w:jc w:val="both"/>
      </w:pPr>
      <w:r>
        <w:lastRenderedPageBreak/>
        <w:t xml:space="preserve">Acquisire la </w:t>
      </w:r>
      <w:r w:rsidR="00177916">
        <w:t>proposta</w:t>
      </w:r>
      <w:r>
        <w:t xml:space="preserve"> da parte del docente con le indicazioni dovute in termini di:</w:t>
      </w:r>
    </w:p>
    <w:p w:rsidR="00F43A5F" w:rsidRDefault="00F43A5F" w:rsidP="00B55140">
      <w:pPr>
        <w:pStyle w:val="Paragrafoelenco"/>
        <w:numPr>
          <w:ilvl w:val="1"/>
          <w:numId w:val="5"/>
        </w:numPr>
        <w:jc w:val="both"/>
      </w:pPr>
      <w:r>
        <w:t xml:space="preserve">Standardizzazione </w:t>
      </w:r>
      <w:r w:rsidR="00177916">
        <w:t xml:space="preserve">o meno </w:t>
      </w:r>
      <w:r>
        <w:t>del prodotto</w:t>
      </w:r>
      <w:r w:rsidR="00177916">
        <w:t>. Nel caso di prodotto non standardizzato occorre definire i criteri che costituiranno, con il rispettivo peso, gli elementi di confronto fra le offerte;</w:t>
      </w:r>
    </w:p>
    <w:p w:rsidR="00F43A5F" w:rsidRDefault="00F43A5F" w:rsidP="00B55140">
      <w:pPr>
        <w:pStyle w:val="Paragrafoelenco"/>
        <w:numPr>
          <w:ilvl w:val="1"/>
          <w:numId w:val="5"/>
        </w:numPr>
        <w:jc w:val="both"/>
      </w:pPr>
      <w:r>
        <w:t>Presenza o meno in MEPA/CONSIP attestata dal punto istruttore autorizzato</w:t>
      </w:r>
    </w:p>
    <w:p w:rsidR="00F43A5F" w:rsidRDefault="00F43A5F" w:rsidP="00B55140">
      <w:pPr>
        <w:pStyle w:val="Paragrafoelenco"/>
        <w:numPr>
          <w:ilvl w:val="1"/>
          <w:numId w:val="5"/>
        </w:numPr>
        <w:jc w:val="both"/>
      </w:pPr>
      <w:r>
        <w:t>Indicazione di 3 aziende da contattare (sia su MEPA che eventualmente sul mercato</w:t>
      </w:r>
      <w:r w:rsidR="00B47F41">
        <w:t xml:space="preserve"> in numero di 5</w:t>
      </w:r>
      <w:r>
        <w:t xml:space="preserve">) </w:t>
      </w:r>
      <w:r w:rsidR="008F3A03">
        <w:t xml:space="preserve">al fine di consentire al RUP di verificare la congruità del prezzo </w:t>
      </w:r>
      <w:bookmarkStart w:id="0" w:name="_GoBack"/>
      <w:bookmarkEnd w:id="0"/>
      <w:r>
        <w:t>ovvero la motivazione di unico fornitore</w:t>
      </w:r>
      <w:r w:rsidR="00B47F41">
        <w:t>;</w:t>
      </w:r>
    </w:p>
    <w:p w:rsidR="00F43A5F" w:rsidRDefault="00F43A5F" w:rsidP="00B55140">
      <w:pPr>
        <w:pStyle w:val="Paragrafoelenco"/>
        <w:numPr>
          <w:ilvl w:val="1"/>
          <w:numId w:val="5"/>
        </w:numPr>
        <w:jc w:val="both"/>
      </w:pPr>
      <w:r>
        <w:t>Elementi fondamentali per confronto omogeneo delle offerte: dettagli tecnici (non implementabili</w:t>
      </w:r>
      <w:r w:rsidR="00177916">
        <w:t xml:space="preserve"> qualora il prodotto sia standardizzato</w:t>
      </w:r>
      <w:r>
        <w:t xml:space="preserve">) scadenza consegna materiale; termini di garanzia </w:t>
      </w:r>
    </w:p>
    <w:p w:rsidR="00F43A5F" w:rsidRDefault="00177916" w:rsidP="00F43A5F">
      <w:r>
        <w:t xml:space="preserve">Alla luce della proposta si deve procedere con l’emissione di un provvedimento </w:t>
      </w:r>
      <w:r w:rsidR="00F43A5F">
        <w:t>che specifichi:</w:t>
      </w:r>
    </w:p>
    <w:p w:rsidR="00F43A5F" w:rsidRDefault="00177916" w:rsidP="00F43A5F">
      <w:pPr>
        <w:pStyle w:val="Paragrafoelenco"/>
        <w:numPr>
          <w:ilvl w:val="0"/>
          <w:numId w:val="1"/>
        </w:numPr>
      </w:pPr>
      <w:r>
        <w:t>Premesse normative</w:t>
      </w:r>
    </w:p>
    <w:p w:rsidR="00177916" w:rsidRDefault="00177916" w:rsidP="00F43A5F">
      <w:pPr>
        <w:pStyle w:val="Paragrafoelenco"/>
        <w:numPr>
          <w:ilvl w:val="0"/>
          <w:numId w:val="1"/>
        </w:numPr>
      </w:pPr>
      <w:r>
        <w:t>Contenuto della proposta di acquisto</w:t>
      </w:r>
    </w:p>
    <w:p w:rsidR="00177916" w:rsidRDefault="00177916" w:rsidP="00F43A5F">
      <w:pPr>
        <w:pStyle w:val="Paragrafoelenco"/>
        <w:numPr>
          <w:ilvl w:val="0"/>
          <w:numId w:val="1"/>
        </w:numPr>
      </w:pPr>
      <w:r>
        <w:t>Se trattasi di prodotto standardizzato</w:t>
      </w:r>
      <w:r w:rsidR="00B47F41">
        <w:t>:</w:t>
      </w:r>
    </w:p>
    <w:p w:rsidR="00F43A5F" w:rsidRDefault="00177916" w:rsidP="00B47F41">
      <w:pPr>
        <w:pStyle w:val="Paragrafoelenco"/>
        <w:numPr>
          <w:ilvl w:val="1"/>
          <w:numId w:val="1"/>
        </w:numPr>
      </w:pPr>
      <w:r>
        <w:t>Procedura che si intende seguire e nello specifico:</w:t>
      </w:r>
    </w:p>
    <w:p w:rsidR="00BF2281" w:rsidRDefault="00177916" w:rsidP="00B55140">
      <w:pPr>
        <w:pStyle w:val="Paragrafoelenco"/>
        <w:numPr>
          <w:ilvl w:val="0"/>
          <w:numId w:val="7"/>
        </w:numPr>
        <w:jc w:val="both"/>
      </w:pPr>
      <w:proofErr w:type="gramStart"/>
      <w:r>
        <w:t>s</w:t>
      </w:r>
      <w:r w:rsidR="00BF2281">
        <w:t>e</w:t>
      </w:r>
      <w:proofErr w:type="gramEnd"/>
      <w:r w:rsidR="00BF2281">
        <w:t xml:space="preserve"> il bene è presente su MEPA/CONSIP </w:t>
      </w:r>
      <w:r w:rsidR="00B47F41">
        <w:t>si devono estrapolare</w:t>
      </w:r>
      <w:r>
        <w:t xml:space="preserve"> almeno tre</w:t>
      </w:r>
      <w:r w:rsidR="00BF2281">
        <w:t xml:space="preserve"> offerte del medesimo prodotto </w:t>
      </w:r>
      <w:r w:rsidR="00B47F41">
        <w:t>presentato</w:t>
      </w:r>
      <w:r w:rsidR="00BF2281">
        <w:t xml:space="preserve"> dai vari fornitori al fine di definire il prezzo più basso </w:t>
      </w:r>
      <w:r w:rsidR="00B47F41">
        <w:t>per</w:t>
      </w:r>
      <w:r w:rsidR="00BF2281">
        <w:t xml:space="preserve"> poi procedere con ODA.</w:t>
      </w:r>
    </w:p>
    <w:p w:rsidR="0082091D" w:rsidRDefault="00BF2281" w:rsidP="00B55140">
      <w:pPr>
        <w:pStyle w:val="Paragrafoelenco"/>
        <w:numPr>
          <w:ilvl w:val="0"/>
          <w:numId w:val="7"/>
        </w:numPr>
        <w:jc w:val="both"/>
      </w:pPr>
      <w:r>
        <w:t>Se il bene non fosse presente su MEPA/CONSIP è possibile acquisire preventivi senza alcuna formalità presso il mercato e poi procedere con affidamento diretto al prezzo più basso.</w:t>
      </w:r>
    </w:p>
    <w:p w:rsidR="0082091D" w:rsidRDefault="0082091D" w:rsidP="00B55140">
      <w:pPr>
        <w:pStyle w:val="Paragrafoelenco"/>
        <w:numPr>
          <w:ilvl w:val="0"/>
          <w:numId w:val="7"/>
        </w:numPr>
        <w:jc w:val="both"/>
      </w:pPr>
      <w:r>
        <w:t>Indicare il criterio del prezzo più basso</w:t>
      </w:r>
    </w:p>
    <w:p w:rsidR="00BF2281" w:rsidRDefault="00BF2281" w:rsidP="0082091D">
      <w:pPr>
        <w:pStyle w:val="Paragrafoelenco"/>
        <w:ind w:left="1068"/>
      </w:pPr>
    </w:p>
    <w:p w:rsidR="00BF2281" w:rsidRDefault="00B47F41" w:rsidP="00B47F41">
      <w:pPr>
        <w:pStyle w:val="Paragrafoelenco"/>
        <w:numPr>
          <w:ilvl w:val="0"/>
          <w:numId w:val="1"/>
        </w:numPr>
      </w:pPr>
      <w:r>
        <w:t>Se il prodotto/servizio non fosse standardizzato:</w:t>
      </w:r>
    </w:p>
    <w:p w:rsidR="00B47F41" w:rsidRDefault="00B47F41" w:rsidP="00B47F41">
      <w:pPr>
        <w:pStyle w:val="Paragrafoelenco"/>
        <w:numPr>
          <w:ilvl w:val="1"/>
          <w:numId w:val="1"/>
        </w:numPr>
      </w:pPr>
      <w:r>
        <w:t>Indicare la procedura che si intende seguire e nello specifico:</w:t>
      </w:r>
    </w:p>
    <w:p w:rsidR="00B47F41" w:rsidRDefault="00B47F41" w:rsidP="00B55140">
      <w:pPr>
        <w:pStyle w:val="Paragrafoelenco"/>
        <w:numPr>
          <w:ilvl w:val="0"/>
          <w:numId w:val="7"/>
        </w:numPr>
        <w:jc w:val="both"/>
      </w:pPr>
      <w:r>
        <w:t>Indicare i pesi attribuiti ai singoli criteri</w:t>
      </w:r>
    </w:p>
    <w:p w:rsidR="00B47F41" w:rsidRDefault="00B47F41" w:rsidP="00B55140">
      <w:pPr>
        <w:pStyle w:val="Paragrafoelenco"/>
        <w:numPr>
          <w:ilvl w:val="0"/>
          <w:numId w:val="7"/>
        </w:numPr>
        <w:jc w:val="both"/>
      </w:pPr>
      <w:r>
        <w:t>Definire le aziende da contattare su MEPA se il prodotto è presente (n.3) selezionando le condizioni contrattuali (es. 60gg pagamento…) ed allegando il format delle certificazioni ovvero sul mercato (n.5) specificando tutte le condizione a cui siamo disponibili a trattare o in alternativa allegare al provvedimento la lettera di invito alle 5 aziende dove si indicano tutte le condizioni.</w:t>
      </w:r>
    </w:p>
    <w:p w:rsidR="005D3CF3" w:rsidRDefault="00B149CC" w:rsidP="00B55140">
      <w:pPr>
        <w:pStyle w:val="Paragrafoelenco"/>
        <w:numPr>
          <w:ilvl w:val="0"/>
          <w:numId w:val="7"/>
        </w:numPr>
        <w:jc w:val="both"/>
      </w:pPr>
      <w:r>
        <w:t xml:space="preserve">Indicare che alla scadenza della presentazione delle offerte verrà nominata apposita commissione in conformità al nuovo codice degli appalti. </w:t>
      </w:r>
    </w:p>
    <w:p w:rsidR="00B149CC" w:rsidRDefault="00B149CC" w:rsidP="005D3CF3">
      <w:pPr>
        <w:pStyle w:val="Paragrafoelenco"/>
        <w:ind w:left="1068"/>
        <w:jc w:val="both"/>
      </w:pPr>
      <w:r w:rsidRPr="005D3CF3">
        <w:rPr>
          <w:b/>
        </w:rPr>
        <w:t>NOTA BENE</w:t>
      </w:r>
      <w:r>
        <w:t>: al momento non è chiaro se la commissione dovrà essere totalmente esterna; parzialmente esterna con un membro ANAC, ovvero possa essere interna per gli acquisti &lt; a 40.000,00.</w:t>
      </w:r>
    </w:p>
    <w:p w:rsidR="00B149CC" w:rsidRDefault="00B149CC" w:rsidP="00B55140">
      <w:pPr>
        <w:jc w:val="both"/>
      </w:pPr>
      <w:r>
        <w:t>Il provvedimento di avvio dovrà essere pubblicato sull’albo e sulla amministrazione trasparente.</w:t>
      </w:r>
    </w:p>
    <w:p w:rsidR="00B149CC" w:rsidRDefault="00B149CC" w:rsidP="00B55140">
      <w:pPr>
        <w:jc w:val="both"/>
      </w:pPr>
      <w:r>
        <w:t xml:space="preserve">Al termine della procedura indicata, si potrà procedere </w:t>
      </w:r>
      <w:r w:rsidR="00F92BD7">
        <w:t>all’aggiudicazione</w:t>
      </w:r>
      <w:r>
        <w:t xml:space="preserve"> con adeguato provvedimento mo</w:t>
      </w:r>
      <w:r w:rsidR="0082091D">
        <w:t>tivato da pubblicare come sopra specificando che, nel caso di MEPA, il provvedimento è immediatamente efficace mentre per gli altri occorre attendere eventuali ricorsi degli altri partecipanti (da verificare se davvero occorrono 35gg ovvero se il termine sia riducibile).</w:t>
      </w:r>
    </w:p>
    <w:p w:rsidR="005D3CF3" w:rsidRDefault="00F92BD7" w:rsidP="00B55140">
      <w:pPr>
        <w:jc w:val="both"/>
      </w:pPr>
      <w:r>
        <w:t xml:space="preserve">In ogni caso, ai sensi dell’art.36 co.5 il Dipartimento è tenuto a verificare esclusivamente i requisiti di carattere generale mediante consultazione della Banca dati nazionale degli operatori economici (di cui non trovo il link). </w:t>
      </w:r>
    </w:p>
    <w:p w:rsidR="00F92BD7" w:rsidRDefault="00F92BD7" w:rsidP="00B55140">
      <w:pPr>
        <w:jc w:val="both"/>
      </w:pPr>
      <w:r>
        <w:t>Le stazioni appaltanti devono verificare il possesso dei requisiti economici e finanziari e tecnico professionali richiesti nella lettera di invito o nel bando di gara.</w:t>
      </w:r>
    </w:p>
    <w:p w:rsidR="00F92BD7" w:rsidRDefault="00F92BD7" w:rsidP="00B149CC"/>
    <w:p w:rsidR="00F92BD7" w:rsidRDefault="00F92BD7" w:rsidP="00B149CC">
      <w:r>
        <w:t>Qualora si sia nel caso di utilizzo del mercato con invio di lettera di richiesta di preventivi fare attenzione ai requisiti che vengono indicati perché ai sensi dell’art.36 co.5 secondo capoverso, qualora si richiedano dei requisiti di ordine economico-finanziari e tecnico-professionali gli stessi vanno verificati obbligatoriamente, anche se solo sull’aggiudicatario.</w:t>
      </w:r>
    </w:p>
    <w:p w:rsidR="006B7717" w:rsidRDefault="006B7717" w:rsidP="00B149CC"/>
    <w:p w:rsidR="006B7717" w:rsidRPr="0028624E" w:rsidRDefault="0028624E" w:rsidP="00B149CC">
      <w:pPr>
        <w:rPr>
          <w:b/>
        </w:rPr>
      </w:pPr>
      <w:r w:rsidRPr="0028624E">
        <w:rPr>
          <w:b/>
        </w:rPr>
        <w:t>QUESTIONI APERTE</w:t>
      </w:r>
    </w:p>
    <w:p w:rsidR="0028624E" w:rsidRDefault="0028624E" w:rsidP="0028624E">
      <w:pPr>
        <w:pStyle w:val="Paragrafoelenco"/>
        <w:numPr>
          <w:ilvl w:val="2"/>
          <w:numId w:val="1"/>
        </w:numPr>
        <w:jc w:val="both"/>
      </w:pPr>
      <w:r>
        <w:t xml:space="preserve">Effettiva necessità di un documento di programmazione sulla ricerca o addirittura sui singoli progetti di ricerca </w:t>
      </w:r>
    </w:p>
    <w:p w:rsidR="0028624E" w:rsidRDefault="0028624E" w:rsidP="0028624E">
      <w:pPr>
        <w:pStyle w:val="Paragrafoelenco"/>
        <w:numPr>
          <w:ilvl w:val="2"/>
          <w:numId w:val="1"/>
        </w:numPr>
        <w:jc w:val="both"/>
      </w:pPr>
      <w:proofErr w:type="gramStart"/>
      <w:r>
        <w:t>definire</w:t>
      </w:r>
      <w:proofErr w:type="gramEnd"/>
      <w:r>
        <w:t xml:space="preserve"> con maggiore puntualità il ruolo del </w:t>
      </w:r>
      <w:proofErr w:type="spellStart"/>
      <w:r>
        <w:t>rup</w:t>
      </w:r>
      <w:proofErr w:type="spellEnd"/>
      <w:r>
        <w:t xml:space="preserve"> e soprattutto il supporto che può avere sia all’interno del dipartimento che in sede centrale</w:t>
      </w:r>
    </w:p>
    <w:p w:rsidR="0028624E" w:rsidRDefault="0028624E" w:rsidP="0028624E">
      <w:pPr>
        <w:pStyle w:val="Paragrafoelenco"/>
        <w:numPr>
          <w:ilvl w:val="2"/>
          <w:numId w:val="1"/>
        </w:numPr>
        <w:jc w:val="both"/>
      </w:pPr>
      <w:proofErr w:type="gramStart"/>
      <w:r>
        <w:t>verifiche</w:t>
      </w:r>
      <w:proofErr w:type="gramEnd"/>
      <w:r>
        <w:t xml:space="preserve"> dei requisiti e banca dati nazionale degli operatori economici</w:t>
      </w:r>
    </w:p>
    <w:p w:rsidR="0028624E" w:rsidRDefault="0028624E" w:rsidP="0028624E">
      <w:pPr>
        <w:pStyle w:val="Paragrafoelenco"/>
        <w:numPr>
          <w:ilvl w:val="2"/>
          <w:numId w:val="1"/>
        </w:numPr>
        <w:jc w:val="both"/>
      </w:pPr>
      <w:proofErr w:type="gramStart"/>
      <w:r>
        <w:t>rotazione</w:t>
      </w:r>
      <w:proofErr w:type="gramEnd"/>
      <w:r>
        <w:t xml:space="preserve"> dei fornitori (a livello di ateneo o di dipartimento) e albo fornitori</w:t>
      </w:r>
    </w:p>
    <w:p w:rsidR="0028624E" w:rsidRDefault="0028624E" w:rsidP="0028624E">
      <w:pPr>
        <w:pStyle w:val="Paragrafoelenco"/>
        <w:numPr>
          <w:ilvl w:val="2"/>
          <w:numId w:val="1"/>
        </w:numPr>
        <w:jc w:val="both"/>
      </w:pPr>
      <w:proofErr w:type="gramStart"/>
      <w:r>
        <w:t>commissione</w:t>
      </w:r>
      <w:proofErr w:type="gramEnd"/>
      <w:r>
        <w:t xml:space="preserve"> di gara per acquisizione di beni e servizi non standardizzati</w:t>
      </w:r>
    </w:p>
    <w:p w:rsidR="00B149CC" w:rsidRDefault="00B149CC" w:rsidP="00B149CC"/>
    <w:sectPr w:rsidR="00B149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631AA"/>
    <w:multiLevelType w:val="hybridMultilevel"/>
    <w:tmpl w:val="08F27C4C"/>
    <w:lvl w:ilvl="0" w:tplc="4F247D66">
      <w:start w:val="1"/>
      <w:numFmt w:val="bullet"/>
      <w:lvlText w:val="-"/>
      <w:lvlJc w:val="left"/>
      <w:pPr>
        <w:ind w:left="1068" w:hanging="360"/>
      </w:pPr>
      <w:rPr>
        <w:rFonts w:ascii="Calibri" w:eastAsiaTheme="minorHAnsi" w:hAnsi="Calibri" w:cstheme="minorBidi"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2381567B"/>
    <w:multiLevelType w:val="hybridMultilevel"/>
    <w:tmpl w:val="0B24A6E8"/>
    <w:lvl w:ilvl="0" w:tplc="27763E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A06E4B"/>
    <w:multiLevelType w:val="hybridMultilevel"/>
    <w:tmpl w:val="FB72D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2E2A42"/>
    <w:multiLevelType w:val="hybridMultilevel"/>
    <w:tmpl w:val="B4501390"/>
    <w:lvl w:ilvl="0" w:tplc="E336204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5B572C"/>
    <w:multiLevelType w:val="hybridMultilevel"/>
    <w:tmpl w:val="331886A2"/>
    <w:lvl w:ilvl="0" w:tplc="4F247D6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F33139"/>
    <w:multiLevelType w:val="hybridMultilevel"/>
    <w:tmpl w:val="C054F4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91507A"/>
    <w:multiLevelType w:val="hybridMultilevel"/>
    <w:tmpl w:val="1B364480"/>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AEF4D0D"/>
    <w:multiLevelType w:val="hybridMultilevel"/>
    <w:tmpl w:val="00700DA2"/>
    <w:lvl w:ilvl="0" w:tplc="17FEBDE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330023"/>
    <w:multiLevelType w:val="hybridMultilevel"/>
    <w:tmpl w:val="D63AFD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C8307F"/>
    <w:multiLevelType w:val="hybridMultilevel"/>
    <w:tmpl w:val="57F265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C72465"/>
    <w:multiLevelType w:val="hybridMultilevel"/>
    <w:tmpl w:val="31C81BF0"/>
    <w:lvl w:ilvl="0" w:tplc="04100017">
      <w:start w:val="1"/>
      <w:numFmt w:val="lowerLetter"/>
      <w:lvlText w:val="%1)"/>
      <w:lvlJc w:val="left"/>
      <w:pPr>
        <w:ind w:left="720" w:hanging="360"/>
      </w:pPr>
      <w:rPr>
        <w:rFonts w:hint="default"/>
      </w:rPr>
    </w:lvl>
    <w:lvl w:ilvl="1" w:tplc="4F247D66">
      <w:start w:val="1"/>
      <w:numFmt w:val="bullet"/>
      <w:lvlText w:val="-"/>
      <w:lvlJc w:val="left"/>
      <w:pPr>
        <w:ind w:left="1440" w:hanging="360"/>
      </w:pPr>
      <w:rPr>
        <w:rFonts w:ascii="Calibri" w:eastAsiaTheme="minorHAnsi" w:hAnsi="Calibri" w:cstheme="minorBidi" w:hint="default"/>
      </w:rPr>
    </w:lvl>
    <w:lvl w:ilvl="2" w:tplc="1A42D41A">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486388"/>
    <w:multiLevelType w:val="hybridMultilevel"/>
    <w:tmpl w:val="F79E2D2E"/>
    <w:lvl w:ilvl="0" w:tplc="C7CEB374">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6B6196"/>
    <w:multiLevelType w:val="hybridMultilevel"/>
    <w:tmpl w:val="67ACC4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4"/>
  </w:num>
  <w:num w:numId="5">
    <w:abstractNumId w:val="12"/>
  </w:num>
  <w:num w:numId="6">
    <w:abstractNumId w:val="9"/>
  </w:num>
  <w:num w:numId="7">
    <w:abstractNumId w:val="6"/>
  </w:num>
  <w:num w:numId="8">
    <w:abstractNumId w:val="5"/>
  </w:num>
  <w:num w:numId="9">
    <w:abstractNumId w:val="8"/>
  </w:num>
  <w:num w:numId="10">
    <w:abstractNumId w:val="2"/>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BD"/>
    <w:rsid w:val="00177916"/>
    <w:rsid w:val="00253A6A"/>
    <w:rsid w:val="0028624E"/>
    <w:rsid w:val="003F7D4D"/>
    <w:rsid w:val="00412CA9"/>
    <w:rsid w:val="004C0524"/>
    <w:rsid w:val="00575C35"/>
    <w:rsid w:val="005D3CF3"/>
    <w:rsid w:val="006361F0"/>
    <w:rsid w:val="006B7717"/>
    <w:rsid w:val="006E7A42"/>
    <w:rsid w:val="007257DF"/>
    <w:rsid w:val="0082091D"/>
    <w:rsid w:val="008E052F"/>
    <w:rsid w:val="008F3A03"/>
    <w:rsid w:val="00B149CC"/>
    <w:rsid w:val="00B47F41"/>
    <w:rsid w:val="00B51A8B"/>
    <w:rsid w:val="00B55140"/>
    <w:rsid w:val="00BF2281"/>
    <w:rsid w:val="00BF6EBD"/>
    <w:rsid w:val="00D147EF"/>
    <w:rsid w:val="00DF507D"/>
    <w:rsid w:val="00F43A5F"/>
    <w:rsid w:val="00F4776A"/>
    <w:rsid w:val="00F92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40E86-3B92-4B3C-8108-5FF3742C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2281"/>
    <w:pPr>
      <w:ind w:left="720"/>
      <w:contextualSpacing/>
    </w:pPr>
  </w:style>
  <w:style w:type="character" w:styleId="Collegamentoipertestuale">
    <w:name w:val="Hyperlink"/>
    <w:basedOn w:val="Carpredefinitoparagrafo"/>
    <w:uiPriority w:val="99"/>
    <w:semiHidden/>
    <w:unhideWhenUsed/>
    <w:rsid w:val="008F3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1005</Words>
  <Characters>5733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cp:lastModifiedBy>
  <cp:revision>10</cp:revision>
  <dcterms:created xsi:type="dcterms:W3CDTF">2016-06-08T10:25:00Z</dcterms:created>
  <dcterms:modified xsi:type="dcterms:W3CDTF">2016-06-10T15:31:00Z</dcterms:modified>
</cp:coreProperties>
</file>